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5" ma:contentTypeDescription="Create a new document." ma:contentTypeScope="" ma:versionID="f1865b105ab8907606533a1404c8e024">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35a9346bf643de90b66ee8b0df52adc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E230B47A-109B-4F43-9523-162FDB49AE28}"/>
</file>

<file path=customXml/itemProps2.xml><?xml version="1.0" encoding="utf-8"?>
<ds:datastoreItem xmlns:ds="http://schemas.openxmlformats.org/officeDocument/2006/customXml" ds:itemID="{D5A8E1D3-BAF9-4559-948E-8B97770522C5}"/>
</file>

<file path=customXml/itemProps3.xml><?xml version="1.0" encoding="utf-8"?>
<ds:datastoreItem xmlns:ds="http://schemas.openxmlformats.org/officeDocument/2006/customXml" ds:itemID="{67FE9F5D-F3E1-4F11-AEDE-F9285865BE8A}"/>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